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</w:pPr>
    </w:p>
    <w:p>
      <w:pPr>
        <w:spacing w:after="60"/>
        <w:jc w:val="center"/>
      </w:pPr>
      <w:r>
        <w:rPr>
          <w:rFonts w:ascii="Arial" w:cs="Arial" w:eastAsia="Arial" w:hAnsi="Arial"/>
          <w:b/>
          <w:bCs/>
          <w:color w:val="1A1A2E"/>
          <w:sz w:val="36"/>
          <w:szCs w:val="36"/>
        </w:rPr>
        <w:t xml:space="preserve">COMMERCIAL RETAIL SPACE</w:t>
      </w:r>
    </w:p>
    <w:p>
      <w:pPr>
        <w:spacing w:after="60"/>
        <w:jc w:val="center"/>
      </w:pPr>
      <w:r>
        <w:rPr>
          <w:rFonts w:ascii="Arial" w:cs="Arial" w:eastAsia="Arial" w:hAnsi="Arial"/>
          <w:b/>
          <w:bCs/>
          <w:color w:val="8B6914"/>
          <w:sz w:val="28"/>
          <w:szCs w:val="28"/>
        </w:rPr>
        <w:t xml:space="preserve">LEASE PROPOSAL — SUITE #1</w:t>
      </w:r>
    </w:p>
    <w:p>
      <w:pPr>
        <w:spacing w:after="320"/>
        <w:jc w:val="center"/>
      </w:pPr>
      <w:r>
        <w:rPr>
          <w:rFonts w:ascii="Arial" w:cs="Arial" w:eastAsia="Arial" w:hAnsi="Arial"/>
          <w:color w:val="555555"/>
          <w:sz w:val="20"/>
          <w:szCs w:val="20"/>
        </w:rPr>
        <w:t xml:space="preserve">4170 E. Waterloo Road  |  Stockton, CA 95215  |  State Route 88 / Piccoli Road Corner</w:t>
      </w:r>
    </w:p>
    <w:p>
      <w:pPr>
        <w:spacing w:after="80"/>
        <w:jc w:val="center"/>
      </w:pPr>
      <w:r>
        <w:drawing>
          <wp:inline distT="0" distB="0" distL="0" distR="0">
            <wp:extent cx="5905500" cy="35052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80"/>
        <w:jc w:val="center"/>
      </w:pPr>
      <w:r>
        <w:rPr>
          <w:rFonts w:ascii="Arial" w:cs="Arial" w:eastAsia="Arial" w:hAnsi="Arial"/>
          <w:i/>
          <w:iCs/>
          <w:color w:val="888888"/>
          <w:sz w:val="17"/>
          <w:szCs w:val="17"/>
        </w:rPr>
        <w:t xml:space="preserve">4170 E. Waterloo Rd — Subway Drive-Thru Anchor &amp; Suite #1 Available</w:t>
      </w: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SPACE AT A GLANCE</w:t>
      </w:r>
    </w:p>
    <w:p>
      <w:pPr>
        <w:spacing w:after="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6160"/>
      </w:tblGrid>
      <w:tr>
        <w:trPr>
          <w:tblHeader/>
        </w:trPr>
        <w:tc>
          <w:tcPr>
            <w:tcW w:type="dxa" w:w="32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Feature</w:t>
            </w:r>
          </w:p>
        </w:tc>
        <w:tc>
          <w:tcPr>
            <w:tcW w:type="dxa" w:w="616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Detail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Address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4170 E. Waterloo Rd, Suite #1, Stockton CA 95215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Ground Floor SF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1,142 SF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Upstairs Office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300 SF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Total Usable Space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1,442 SF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Condition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Gray Shell — Sheetrock installed, ADA restroom complete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Grease Trap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1,200-gallon tank on premises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HVAC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Roof-mounted unit installed (ductwork not complete)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Signage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Pole signage available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Co-Tenants / Proximity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Subway Drive-Thru on-site; McDonald's, Taco Bell, Denny's nearby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APN</w:t>
            </w:r>
          </w:p>
        </w:tc>
        <w:tc>
          <w:tcPr>
            <w:tcW w:type="dxa" w:w="6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101-180-13</w:t>
            </w:r>
          </w:p>
        </w:tc>
      </w:tr>
    </w:tbl>
    <w:p>
      <w:pPr>
        <w:spacing w:after="240"/>
      </w:pP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NNN EXPENSE BREAKDOWN (TENANT'S PROPORTIONATE SHARE)</w:t>
      </w:r>
    </w:p>
    <w:p>
      <w:pPr>
        <w:spacing w:after="80"/>
      </w:pPr>
    </w:p>
    <w:p>
      <w:pPr>
        <w:spacing w:after="80"/>
      </w:pPr>
      <w:r>
        <w:rPr>
          <w:rFonts w:ascii="Arial" w:cs="Arial" w:eastAsia="Arial" w:hAnsi="Arial"/>
          <w:color w:val="555555"/>
          <w:sz w:val="20"/>
          <w:szCs w:val="20"/>
        </w:rPr>
        <w:t xml:space="preserve">The space is approximately 40% of total building area. NNN charges are reconciled annually based on actual costs — no management fees or inflated line items.</w:t>
      </w:r>
    </w:p>
    <w:p>
      <w:pPr>
        <w:spacing w:after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1980"/>
        <w:gridCol w:w="2340"/>
        <w:gridCol w:w="2040"/>
      </w:tblGrid>
      <w:tr>
        <w:trPr>
          <w:tblHeader/>
        </w:trPr>
        <w:tc>
          <w:tcPr>
            <w:tcW w:type="dxa" w:w="30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NNN Expense Item</w:t>
            </w:r>
          </w:p>
        </w:tc>
        <w:tc>
          <w:tcPr>
            <w:tcW w:type="dxa" w:w="198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Annual Cost</w:t>
            </w:r>
          </w:p>
        </w:tc>
        <w:tc>
          <w:tcPr>
            <w:tcW w:type="dxa" w:w="234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Tenant Share (40%)</w:t>
            </w:r>
          </w:p>
        </w:tc>
        <w:tc>
          <w:tcPr>
            <w:tcW w:type="dxa" w:w="204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Monthly (÷12)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Property Taxes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$12,000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$4,800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$400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Insurance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$7,500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$3,000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$250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Flood Insurance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$5,500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$2,200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$183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Trash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$7,000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$2,800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$233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Water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$3,000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$1,200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$100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Landscaping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$4,200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$1,680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$140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TOTAL</w:t>
            </w:r>
          </w:p>
        </w:tc>
        <w:tc>
          <w:tcPr>
            <w:tcW w:type="dxa" w:w="19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$39,200</w:t>
            </w:r>
          </w:p>
        </w:tc>
        <w:tc>
          <w:tcPr>
            <w:tcW w:type="dxa" w:w="23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$15,680/yr</w:t>
            </w:r>
          </w:p>
        </w:tc>
        <w:tc>
          <w:tcPr>
            <w:tcW w:type="dxa" w:w="20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≈ $1,307/mo</w:t>
            </w:r>
          </w:p>
        </w:tc>
      </w:tr>
    </w:tbl>
    <w:p>
      <w:pPr>
        <w:spacing w:after="1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F5EDD6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555555"/>
                <w:sz w:val="20"/>
                <w:szCs w:val="20"/>
              </w:rPr>
              <w:t xml:space="preserve">Estimated Monthly NNN:  </w:t>
            </w:r>
            <w:r>
              <w:rPr>
                <w:rFonts w:ascii="Arial" w:cs="Arial" w:eastAsia="Arial" w:hAnsi="Arial"/>
                <w:b/>
                <w:bCs/>
                <w:color w:val="8B6914"/>
                <w:sz w:val="24"/>
                <w:szCs w:val="24"/>
              </w:rPr>
              <w:t xml:space="preserve">≈ $1,307/month</w:t>
            </w:r>
            <w:r>
              <w:rPr>
                <w:rFonts w:ascii="Arial" w:cs="Arial" w:eastAsia="Arial" w:hAnsi="Arial"/>
                <w:color w:val="888888"/>
                <w:sz w:val="18"/>
                <w:szCs w:val="18"/>
              </w:rPr>
              <w:t xml:space="preserve">  (based on current actual expenses — reconciled annually)</w:t>
            </w:r>
          </w:p>
        </w:tc>
      </w:tr>
    </w:tbl>
    <w:p>
      <w:pPr>
        <w:spacing w:after="240"/>
      </w:pP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RENT STRUCTURE — STANDARD LEASE</w:t>
      </w:r>
    </w:p>
    <w:p>
      <w:pPr>
        <w:spacing w:after="80"/>
      </w:pPr>
    </w:p>
    <w:p>
      <w:pPr>
        <w:spacing w:after="80"/>
      </w:pPr>
      <w:r>
        <w:rPr>
          <w:rFonts w:ascii="Arial" w:cs="Arial" w:eastAsia="Arial" w:hAnsi="Arial"/>
          <w:color w:val="555555"/>
          <w:sz w:val="20"/>
          <w:szCs w:val="20"/>
        </w:rPr>
        <w:t xml:space="preserve">Rent commences upon landlord approval to open. Startup support is built into the first year to give tenants time to ramp operations. Annual increases thereafter are fixed at 3% for predictability.</w:t>
      </w:r>
    </w:p>
    <w:p>
      <w:pPr>
        <w:spacing w:after="12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2400"/>
        <w:gridCol w:w="1920"/>
        <w:gridCol w:w="1500"/>
        <w:gridCol w:w="1740"/>
      </w:tblGrid>
      <w:tr>
        <w:trPr>
          <w:tblHeader/>
        </w:trPr>
        <w:tc>
          <w:tcPr>
            <w:tcW w:type="dxa" w:w="18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Phase</w:t>
            </w:r>
          </w:p>
        </w:tc>
        <w:tc>
          <w:tcPr>
            <w:tcW w:type="dxa" w:w="24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Period</w:t>
            </w:r>
          </w:p>
        </w:tc>
        <w:tc>
          <w:tcPr>
            <w:tcW w:type="dxa" w:w="192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Monthly Base Rent</w:t>
            </w:r>
          </w:p>
        </w:tc>
        <w:tc>
          <w:tcPr>
            <w:tcW w:type="dxa" w:w="15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NNN</w:t>
            </w:r>
          </w:p>
        </w:tc>
        <w:tc>
          <w:tcPr>
            <w:tcW w:type="dxa" w:w="174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Total / Month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Startup Support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Months 1–6</w:t>
            </w:r>
          </w:p>
        </w:tc>
        <w:tc>
          <w:tcPr>
            <w:tcW w:type="dxa" w:w="19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$2,500 flat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Included</w:t>
            </w:r>
          </w:p>
        </w:tc>
        <w:tc>
          <w:tcPr>
            <w:tcW w:type="dxa" w:w="17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$2,500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Transition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Months 7–12</w:t>
            </w:r>
          </w:p>
        </w:tc>
        <w:tc>
          <w:tcPr>
            <w:tcW w:type="dxa" w:w="19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$3,000 flat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Included</w:t>
            </w:r>
          </w:p>
        </w:tc>
        <w:tc>
          <w:tcPr>
            <w:tcW w:type="dxa" w:w="17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$3,000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Standard — Year 2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$2.00/SF × 1,142 SF</w:t>
            </w:r>
          </w:p>
        </w:tc>
        <w:tc>
          <w:tcPr>
            <w:tcW w:type="dxa" w:w="19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$2,284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17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$3,591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Standard — Year 3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$2.06/SF × 1,142 SF</w:t>
            </w:r>
          </w:p>
        </w:tc>
        <w:tc>
          <w:tcPr>
            <w:tcW w:type="dxa" w:w="19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$2,353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17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$3,660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Standard — Year 4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$2.12/SF × 1,142 SF</w:t>
            </w:r>
          </w:p>
        </w:tc>
        <w:tc>
          <w:tcPr>
            <w:tcW w:type="dxa" w:w="19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$2,424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17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$3,731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Standard — Year 5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$2.18/SF × 1,142 SF</w:t>
            </w:r>
          </w:p>
        </w:tc>
        <w:tc>
          <w:tcPr>
            <w:tcW w:type="dxa" w:w="19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$2,497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17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$3,804</w:t>
            </w:r>
          </w:p>
        </w:tc>
      </w:tr>
    </w:tbl>
    <w:p>
      <w:pPr>
        <w:spacing w:after="200"/>
      </w:pP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RENT ESCALATION SCHEDULE (BASE RENT ONLY — NNN RECONCILED SEPARATELY)</w:t>
      </w:r>
    </w:p>
    <w:p>
      <w:pPr>
        <w:spacing w:after="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1860"/>
        <w:gridCol w:w="2000"/>
        <w:gridCol w:w="2000"/>
        <w:gridCol w:w="2000"/>
      </w:tblGrid>
      <w:tr>
        <w:trPr>
          <w:tblHeader/>
        </w:trPr>
        <w:tc>
          <w:tcPr>
            <w:tcW w:type="dxa" w:w="15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Year</w:t>
            </w:r>
          </w:p>
        </w:tc>
        <w:tc>
          <w:tcPr>
            <w:tcW w:type="dxa" w:w="186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Rate PSF/Mo</w:t>
            </w:r>
          </w:p>
        </w:tc>
        <w:tc>
          <w:tcPr>
            <w:tcW w:type="dxa" w:w="20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Monthly Base</w:t>
            </w:r>
          </w:p>
        </w:tc>
        <w:tc>
          <w:tcPr>
            <w:tcW w:type="dxa" w:w="20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Monthly NNN</w:t>
            </w:r>
          </w:p>
        </w:tc>
        <w:tc>
          <w:tcPr>
            <w:tcW w:type="dxa" w:w="20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Total Monthly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Year 2</w:t>
            </w:r>
          </w:p>
        </w:tc>
        <w:tc>
          <w:tcPr>
            <w:tcW w:type="dxa" w:w="1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$2.00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$2,284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$3,591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Year 3</w:t>
            </w:r>
          </w:p>
        </w:tc>
        <w:tc>
          <w:tcPr>
            <w:tcW w:type="dxa" w:w="1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$2.06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$2,353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$3,660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Year 4</w:t>
            </w:r>
          </w:p>
        </w:tc>
        <w:tc>
          <w:tcPr>
            <w:tcW w:type="dxa" w:w="1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$2.12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$2,424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$3,731</w:t>
            </w:r>
          </w:p>
        </w:tc>
      </w:tr>
      <w:tr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Year 5</w:t>
            </w:r>
          </w:p>
        </w:tc>
        <w:tc>
          <w:tcPr>
            <w:tcW w:type="dxa" w:w="18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$2.18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$2,497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$1,307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$3,804</w:t>
            </w:r>
          </w:p>
        </w:tc>
      </w:tr>
    </w:tbl>
    <w:p>
      <w:pPr>
        <w:spacing w:after="200"/>
      </w:pP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ALTERNATIVE: PARTNERSHIP / REVENUE-SHARE STRUCTURE</w:t>
      </w:r>
    </w:p>
    <w:p>
      <w:pPr>
        <w:spacing w:after="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EFF7F0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color w:val="1A1A2E"/>
                <w:sz w:val="20"/>
                <w:szCs w:val="20"/>
              </w:rPr>
              <w:t xml:space="preserve">Option available for qualified operator-partners.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b/>
                <w:bCs/>
                <w:color w:val="1A1A2E"/>
                <w:sz w:val="19"/>
                <w:szCs w:val="19"/>
              </w:rPr>
              <w:t xml:space="preserve">First 6 months: </w:t>
            </w:r>
            <w:r>
              <w:rPr>
                <w:rFonts w:ascii="Arial" w:cs="Arial" w:eastAsia="Arial" w:hAnsi="Arial"/>
                <w:color w:val="1A1A2E"/>
                <w:sz w:val="19"/>
                <w:szCs w:val="19"/>
              </w:rPr>
              <w:t xml:space="preserve">$1,000/month to cover building expenses only (no base rent)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b/>
                <w:bCs/>
                <w:color w:val="1A1A2E"/>
                <w:sz w:val="19"/>
                <w:szCs w:val="19"/>
              </w:rPr>
              <w:t xml:space="preserve">After 6 months: </w:t>
            </w:r>
            <w:r>
              <w:rPr>
                <w:rFonts w:ascii="Arial" w:cs="Arial" w:eastAsia="Arial" w:hAnsi="Arial"/>
                <w:color w:val="1A1A2E"/>
                <w:sz w:val="19"/>
                <w:szCs w:val="19"/>
              </w:rPr>
              <w:t xml:space="preserve">$3,000/month ALL-IN (includes NNN) — percentage rent or profit-share negotiable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i/>
                <w:iCs/>
                <w:color w:val="888888"/>
                <w:sz w:val="18"/>
                <w:szCs w:val="18"/>
              </w:rPr>
              <w:t xml:space="preserve">Contact landlord directly to discuss terms.</w:t>
            </w:r>
          </w:p>
        </w:tc>
      </w:tr>
    </w:tbl>
    <w:p>
      <w:pPr>
        <w:spacing w:after="240"/>
      </w:pP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MARKET COMPARISON &amp; PRICING RATIONALE</w:t>
      </w:r>
    </w:p>
    <w:p>
      <w:pPr>
        <w:spacing w:after="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3000"/>
        <w:gridCol w:w="3360"/>
      </w:tblGrid>
      <w:tr>
        <w:trPr>
          <w:tblHeader/>
        </w:trPr>
        <w:tc>
          <w:tcPr>
            <w:tcW w:type="dxa" w:w="30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Market Rate</w:t>
            </w:r>
          </w:p>
        </w:tc>
        <w:tc>
          <w:tcPr>
            <w:tcW w:type="dxa" w:w="336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This Space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Base Rent PSF/Month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$2.50 – $4.00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$2.00 (after year 1)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NNN PSF/Month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$1.00 – $1.50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≈ $1.14 (actual costs only)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Startup Flexibility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Rarely offered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6–12 months flat rate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Management Fees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Often 10–15% of NNN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None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Partnership Option</w:t>
            </w:r>
          </w:p>
        </w:tc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1A1A2E"/>
                <w:sz w:val="18"/>
                <w:szCs w:val="18"/>
              </w:rPr>
              <w:t xml:space="preserve">Very uncommon</w:t>
            </w:r>
          </w:p>
        </w:tc>
        <w:tc>
          <w:tcPr>
            <w:tcW w:type="dxa" w:w="3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Available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cs="Arial" w:eastAsia="Arial" w:hAnsi="Arial"/>
          <w:color w:val="555555"/>
          <w:sz w:val="20"/>
          <w:szCs w:val="20"/>
        </w:rPr>
        <w:t xml:space="preserve">Comparable new retail developments in Stockton lease at $2.50–$4.00/SF base rent + NNN. This space is offered below market to attract the right long-term operator, with flexible deal structures unavailable from institutional landlords.</w:t>
      </w:r>
    </w:p>
    <w:p>
      <w:pPr>
        <w:spacing w:after="240"/>
      </w:pPr>
    </w:p>
    <w:p>
      <w:pPr>
        <w:pBdr>
          <w:bottom w:val="single" w:color="8B6914" w:sz="6" w:space="4"/>
        </w:pBdr>
        <w:spacing w:after="120" w:before="240"/>
      </w:pPr>
      <w:r>
        <w:rPr>
          <w:rFonts w:ascii="Arial" w:cs="Arial" w:eastAsia="Arial" w:hAnsi="Arial"/>
          <w:b/>
          <w:bCs/>
          <w:color w:val="1A1A2E"/>
          <w:sz w:val="24"/>
          <w:szCs w:val="24"/>
        </w:rPr>
        <w:t xml:space="preserve">CONTACT &amp; NEXT STEPS</w:t>
      </w:r>
    </w:p>
    <w:p>
      <w:pPr>
        <w:spacing w:after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rPr>
          <w:tblHeader/>
        </w:trPr>
        <w:tc>
          <w:tcPr>
            <w:tcW w:type="dxa" w:w="9360"/>
            <w:tcBorders>
              <w:top w:val="single" w:color="8B6914" w:sz="4"/>
              <w:left w:val="single" w:color="8B6914" w:sz="4"/>
              <w:bottom w:val="single" w:color="8B6914" w:sz="4"/>
              <w:right w:val="single" w:color="8B6914" w:sz="4"/>
            </w:tcBorders>
            <w:shd w:fill="1A1A2E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Contact Information</w:t>
            </w:r>
          </w:p>
        </w:tc>
      </w:tr>
      <w:tr>
        <w:tc>
          <w:tcPr>
            <w:tcW w:type="dxa" w:w="9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A1A2E"/>
                <w:sz w:val="18"/>
                <w:szCs w:val="18"/>
              </w:rPr>
              <w:t xml:space="preserve">Divine Plaza LLC Real Estate</w:t>
            </w:r>
          </w:p>
        </w:tc>
      </w:tr>
      <w:tr>
        <w:tc>
          <w:tcPr>
            <w:tcW w:type="dxa" w:w="9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Phone: 209-298-6629</w:t>
            </w:r>
          </w:p>
        </w:tc>
      </w:tr>
      <w:tr>
        <w:tc>
          <w:tcPr>
            <w:tcW w:type="dxa" w:w="9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Email: tiwanasubs@gmail.com</w:t>
            </w:r>
          </w:p>
        </w:tc>
      </w:tr>
      <w:tr>
        <w:tc>
          <w:tcPr>
            <w:tcW w:type="dxa" w:w="9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7F7F7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color w:val="1A1A2E"/>
                <w:sz w:val="18"/>
                <w:szCs w:val="18"/>
              </w:rPr>
              <w:t xml:space="preserve">Property: 4170 E. Waterloo Rd, Suite #1, Stockton CA 95215</w:t>
            </w:r>
          </w:p>
        </w:tc>
      </w:tr>
    </w:tbl>
    <w:p>
      <w:pPr>
        <w:spacing w:after="120"/>
      </w:pPr>
    </w:p>
    <w:p>
      <w:pPr>
        <w:spacing w:after="80"/>
      </w:pPr>
      <w:r>
        <w:rPr>
          <w:rFonts w:ascii="Arial" w:cs="Arial" w:eastAsia="Arial" w:hAnsi="Arial"/>
          <w:i/>
          <w:iCs/>
          <w:color w:val="999999"/>
          <w:sz w:val="20"/>
          <w:szCs w:val="20"/>
        </w:rPr>
        <w:t xml:space="preserve">This is a confidential lease proposal. All terms are negotiable. Landlord reserves the right to modify pricing based on tenant use type, lease term, and creditworthiness.</w:t>
      </w:r>
    </w:p>
    <w:sectPr>
      <w:headerReference w:type="default" r:id="rId7"/>
      <w:footerReference w:type="default" r:id="rId8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8B6914" w:sz="4" w:space="4"/>
      </w:pBdr>
      <w:spacing w:before="120"/>
      <w:jc w:val="center"/>
    </w:pPr>
    <w:r>
      <w:rPr>
        <w:rFonts w:ascii="Arial" w:cs="Arial" w:eastAsia="Arial" w:hAnsi="Arial"/>
        <w:color w:val="888888"/>
        <w:sz w:val="16"/>
        <w:szCs w:val="16"/>
      </w:rPr>
      <w:t xml:space="preserve">Divine Plaza LLC Real Estate  |  209-298-6629  |  tiwanasubs@gmail.com  |  Confidential Lease Proposal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10080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</w:tblPr>
    <w:tblGrid>
      <w:gridCol w:w="6000"/>
      <w:gridCol w:w="4080"/>
    </w:tblGrid>
    <w:tr>
      <w:tc>
        <w:tcPr>
          <w:tcW w:type="dxa" w:w="600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1A1A2E" w:val="clear"/>
          <w:tcMar>
            <w:top w:type="dxa" w:w="120"/>
            <w:left w:type="dxa" w:w="200"/>
            <w:bottom w:type="dxa" w:w="120"/>
            <w:right w:type="dxa" w:w="200"/>
          </w:tcMar>
        </w:tcPr>
        <w:p>
          <w:r>
            <w:rPr>
              <w:rFonts w:ascii="Arial" w:cs="Arial" w:eastAsia="Arial" w:hAnsi="Arial"/>
              <w:b/>
              <w:bCs/>
              <w:color w:val="8B6914"/>
              <w:sz w:val="28"/>
              <w:szCs w:val="28"/>
            </w:rPr>
            <w:t xml:space="preserve">DIVINE PLAZA LLC</w:t>
          </w:r>
        </w:p>
        <w:p>
          <w:r>
            <w:rPr>
              <w:rFonts w:ascii="Arial" w:cs="Arial" w:eastAsia="Arial" w:hAnsi="Arial"/>
              <w:color w:val="AAAAAA"/>
              <w:sz w:val="18"/>
              <w:szCs w:val="18"/>
            </w:rPr>
            <w:t xml:space="preserve">REAL ESTATE</w:t>
          </w:r>
        </w:p>
      </w:tc>
      <w:tc>
        <w:tcPr>
          <w:tcW w:type="dxa" w:w="408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1A1A2E" w:val="clear"/>
          <w:tcMar>
            <w:top w:type="dxa" w:w="120"/>
            <w:left w:type="dxa" w:w="200"/>
            <w:bottom w:type="dxa" w:w="120"/>
            <w:right w:type="dxa" w:w="200"/>
          </w:tcMar>
          <w:vAlign w:val="center"/>
        </w:tcPr>
        <w:p>
          <w:pPr>
            <w:jc w:val="right"/>
          </w:pPr>
          <w:r>
            <w:rPr>
              <w:rFonts w:ascii="Arial" w:cs="Arial" w:eastAsia="Arial" w:hAnsi="Arial"/>
              <w:color w:val="FFFFFF"/>
              <w:sz w:val="18"/>
              <w:szCs w:val="18"/>
            </w:rPr>
            <w:t xml:space="preserve">4170 E. Waterloo Rd, Suite #1</w:t>
          </w:r>
        </w:p>
        <w:p>
          <w:pPr>
            <w:jc w:val="right"/>
          </w:pPr>
          <w:r>
            <w:rPr>
              <w:rFonts w:ascii="Arial" w:cs="Arial" w:eastAsia="Arial" w:hAnsi="Arial"/>
              <w:color w:val="AAAAAA"/>
              <w:sz w:val="18"/>
              <w:szCs w:val="18"/>
            </w:rPr>
            <w:t xml:space="preserve">Stockton, CA 95215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65bd7d00bbecfa4789cd292238c42bd446cd115d.jp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2026-05-10T21:14:03.646Z</dcterms:created>
  <dcterms:modified xsi:type="dcterms:W3CDTF">2026-05-10T21:14:03.646Z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